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B66D" w14:textId="77777777" w:rsidR="002E2804" w:rsidRPr="001C3301" w:rsidRDefault="00000000">
      <w:pPr>
        <w:spacing w:before="200" w:after="80"/>
        <w:rPr>
          <w:rFonts w:asciiTheme="majorHAnsi" w:hAnsiTheme="majorHAnsi" w:cstheme="majorHAnsi"/>
          <w:color w:val="auto"/>
        </w:rPr>
      </w:pPr>
      <w:r w:rsidRPr="001C3301">
        <w:rPr>
          <w:rFonts w:asciiTheme="majorHAnsi" w:hAnsiTheme="majorHAnsi" w:cstheme="majorHAnsi"/>
          <w:b/>
          <w:color w:val="auto"/>
        </w:rPr>
        <w:t>DNI AT UNCCD COP17</w:t>
      </w:r>
    </w:p>
    <w:p w14:paraId="67F8269F" w14:textId="77777777" w:rsidR="002E2804" w:rsidRPr="001C3301" w:rsidRDefault="00000000">
      <w:pPr>
        <w:keepNext/>
        <w:rPr>
          <w:rFonts w:asciiTheme="majorHAnsi" w:hAnsiTheme="majorHAnsi" w:cstheme="majorHAnsi"/>
          <w:color w:val="auto"/>
        </w:rPr>
      </w:pPr>
      <w:r w:rsidRPr="001C3301">
        <w:rPr>
          <w:rFonts w:asciiTheme="majorHAnsi" w:hAnsiTheme="majorHAnsi" w:cstheme="majorHAnsi"/>
          <w:b/>
          <w:color w:val="auto"/>
        </w:rPr>
        <w:t>Managing Connectivity of Wind, Water and Livestock for Dryland Restoration</w:t>
      </w:r>
    </w:p>
    <w:p w14:paraId="35EE965A" w14:textId="77777777" w:rsidR="002E2804" w:rsidRPr="001C3301" w:rsidRDefault="00000000">
      <w:pPr>
        <w:keepNext/>
        <w:spacing w:after="240"/>
        <w:rPr>
          <w:rFonts w:asciiTheme="majorHAnsi" w:hAnsiTheme="majorHAnsi" w:cstheme="majorHAnsi"/>
          <w:color w:val="auto"/>
        </w:rPr>
      </w:pPr>
      <w:r w:rsidRPr="001C3301">
        <w:rPr>
          <w:rFonts w:asciiTheme="majorHAnsi" w:hAnsiTheme="majorHAnsi" w:cstheme="majorHAnsi"/>
          <w:color w:val="auto"/>
        </w:rPr>
        <w:t>Side Event #</w:t>
      </w:r>
      <w:proofErr w:type="gramStart"/>
      <w:r w:rsidRPr="001C3301">
        <w:rPr>
          <w:rFonts w:asciiTheme="majorHAnsi" w:hAnsiTheme="majorHAnsi" w:cstheme="majorHAnsi"/>
          <w:color w:val="auto"/>
        </w:rPr>
        <w:t>299  |</w:t>
      </w:r>
      <w:proofErr w:type="gramEnd"/>
      <w:r w:rsidRPr="001C3301">
        <w:rPr>
          <w:rFonts w:asciiTheme="majorHAnsi" w:hAnsiTheme="majorHAnsi" w:cstheme="majorHAnsi"/>
          <w:color w:val="auto"/>
        </w:rPr>
        <w:t xml:space="preserve">  A panel connecting dryland science, restoration practice and policy</w:t>
      </w:r>
    </w:p>
    <w:tbl>
      <w:tblPr>
        <w:tblW w:w="9360" w:type="dxa"/>
        <w:tblInd w:w="120" w:type="dxa"/>
        <w:tblBorders>
          <w:top w:val="single" w:sz="6" w:space="0" w:color="D7DEE5"/>
          <w:left w:val="single" w:sz="6" w:space="0" w:color="D7DEE5"/>
          <w:bottom w:val="single" w:sz="6" w:space="0" w:color="D7DEE5"/>
          <w:right w:val="single" w:sz="6" w:space="0" w:color="D7DEE5"/>
          <w:insideH w:val="single" w:sz="6" w:space="0" w:color="D7DEE5"/>
          <w:insideV w:val="single" w:sz="6" w:space="0" w:color="D7DEE5"/>
        </w:tblBorders>
        <w:tblLayout w:type="fixed"/>
        <w:tblLook w:val="04A0" w:firstRow="1" w:lastRow="0" w:firstColumn="1" w:lastColumn="0" w:noHBand="0" w:noVBand="1"/>
      </w:tblPr>
      <w:tblGrid>
        <w:gridCol w:w="2700"/>
        <w:gridCol w:w="6660"/>
      </w:tblGrid>
      <w:tr w:rsidR="002E2804" w:rsidRPr="001C3301" w14:paraId="65BFCDFE" w14:textId="77777777" w:rsidTr="00A64210">
        <w:tc>
          <w:tcPr>
            <w:tcW w:w="2700" w:type="dxa"/>
            <w:tcMar>
              <w:top w:w="80" w:type="dxa"/>
              <w:left w:w="120" w:type="dxa"/>
              <w:bottom w:w="80" w:type="dxa"/>
              <w:right w:w="120" w:type="dxa"/>
            </w:tcMar>
            <w:vAlign w:val="center"/>
          </w:tcPr>
          <w:p w14:paraId="1D0AC673"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b/>
                <w:color w:val="auto"/>
              </w:rPr>
              <w:t>Date and time</w:t>
            </w:r>
          </w:p>
        </w:tc>
        <w:tc>
          <w:tcPr>
            <w:tcW w:w="6660" w:type="dxa"/>
            <w:tcMar>
              <w:top w:w="80" w:type="dxa"/>
              <w:left w:w="120" w:type="dxa"/>
              <w:bottom w:w="80" w:type="dxa"/>
              <w:right w:w="120" w:type="dxa"/>
            </w:tcMar>
            <w:vAlign w:val="center"/>
          </w:tcPr>
          <w:p w14:paraId="416BF5C1"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color w:val="auto"/>
              </w:rPr>
              <w:t xml:space="preserve">Saturday, 22 August </w:t>
            </w:r>
            <w:proofErr w:type="gramStart"/>
            <w:r w:rsidRPr="001C3301">
              <w:rPr>
                <w:rFonts w:asciiTheme="majorHAnsi" w:hAnsiTheme="majorHAnsi" w:cstheme="majorHAnsi"/>
                <w:color w:val="auto"/>
              </w:rPr>
              <w:t>2026  |</w:t>
            </w:r>
            <w:proofErr w:type="gramEnd"/>
            <w:r w:rsidRPr="001C3301">
              <w:rPr>
                <w:rFonts w:asciiTheme="majorHAnsi" w:hAnsiTheme="majorHAnsi" w:cstheme="majorHAnsi"/>
                <w:color w:val="auto"/>
              </w:rPr>
              <w:t xml:space="preserve">  13:00 to 14:30</w:t>
            </w:r>
          </w:p>
        </w:tc>
      </w:tr>
      <w:tr w:rsidR="002E2804" w:rsidRPr="001C3301" w14:paraId="477C316D" w14:textId="77777777" w:rsidTr="00A64210">
        <w:tc>
          <w:tcPr>
            <w:tcW w:w="2700" w:type="dxa"/>
            <w:tcMar>
              <w:top w:w="80" w:type="dxa"/>
              <w:left w:w="120" w:type="dxa"/>
              <w:bottom w:w="80" w:type="dxa"/>
              <w:right w:w="120" w:type="dxa"/>
            </w:tcMar>
            <w:vAlign w:val="center"/>
          </w:tcPr>
          <w:p w14:paraId="0A4E8429"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b/>
                <w:color w:val="auto"/>
              </w:rPr>
              <w:t>Venue</w:t>
            </w:r>
          </w:p>
        </w:tc>
        <w:tc>
          <w:tcPr>
            <w:tcW w:w="6660" w:type="dxa"/>
            <w:tcMar>
              <w:top w:w="80" w:type="dxa"/>
              <w:left w:w="120" w:type="dxa"/>
              <w:bottom w:w="80" w:type="dxa"/>
              <w:right w:w="120" w:type="dxa"/>
            </w:tcMar>
            <w:vAlign w:val="center"/>
          </w:tcPr>
          <w:p w14:paraId="0130C82E"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color w:val="auto"/>
              </w:rPr>
              <w:t>Room MET-03 (CSO), Ulaanbaatar, Mongolia</w:t>
            </w:r>
          </w:p>
        </w:tc>
      </w:tr>
      <w:tr w:rsidR="002E2804" w:rsidRPr="001C3301" w14:paraId="6D4E10CE" w14:textId="77777777" w:rsidTr="00A64210">
        <w:tc>
          <w:tcPr>
            <w:tcW w:w="2700" w:type="dxa"/>
            <w:tcMar>
              <w:top w:w="80" w:type="dxa"/>
              <w:left w:w="120" w:type="dxa"/>
              <w:bottom w:w="80" w:type="dxa"/>
              <w:right w:w="120" w:type="dxa"/>
            </w:tcMar>
            <w:vAlign w:val="center"/>
          </w:tcPr>
          <w:p w14:paraId="0280FC97"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b/>
                <w:color w:val="auto"/>
              </w:rPr>
              <w:t>Format</w:t>
            </w:r>
          </w:p>
        </w:tc>
        <w:tc>
          <w:tcPr>
            <w:tcW w:w="6660" w:type="dxa"/>
            <w:tcMar>
              <w:top w:w="80" w:type="dxa"/>
              <w:left w:w="120" w:type="dxa"/>
              <w:bottom w:w="80" w:type="dxa"/>
              <w:right w:w="120" w:type="dxa"/>
            </w:tcMar>
            <w:vAlign w:val="center"/>
          </w:tcPr>
          <w:p w14:paraId="2966F191"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color w:val="auto"/>
              </w:rPr>
              <w:t>Panel discussion in English</w:t>
            </w:r>
          </w:p>
        </w:tc>
      </w:tr>
      <w:tr w:rsidR="002E2804" w:rsidRPr="001C3301" w14:paraId="161416B6" w14:textId="77777777" w:rsidTr="00A64210">
        <w:tc>
          <w:tcPr>
            <w:tcW w:w="2700" w:type="dxa"/>
            <w:tcMar>
              <w:top w:w="80" w:type="dxa"/>
              <w:left w:w="120" w:type="dxa"/>
              <w:bottom w:w="80" w:type="dxa"/>
              <w:right w:w="120" w:type="dxa"/>
            </w:tcMar>
            <w:vAlign w:val="center"/>
          </w:tcPr>
          <w:p w14:paraId="2A0F2E36"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b/>
                <w:color w:val="auto"/>
              </w:rPr>
              <w:t>Organizers</w:t>
            </w:r>
          </w:p>
        </w:tc>
        <w:tc>
          <w:tcPr>
            <w:tcW w:w="6660" w:type="dxa"/>
            <w:tcMar>
              <w:top w:w="80" w:type="dxa"/>
              <w:left w:w="120" w:type="dxa"/>
              <w:bottom w:w="80" w:type="dxa"/>
              <w:right w:w="120" w:type="dxa"/>
            </w:tcMar>
            <w:vAlign w:val="center"/>
          </w:tcPr>
          <w:p w14:paraId="236C8AC3" w14:textId="77777777" w:rsidR="002E2804" w:rsidRPr="001C3301" w:rsidRDefault="00000000">
            <w:pPr>
              <w:spacing w:after="0" w:line="252" w:lineRule="auto"/>
              <w:rPr>
                <w:rFonts w:asciiTheme="majorHAnsi" w:hAnsiTheme="majorHAnsi" w:cstheme="majorHAnsi"/>
                <w:color w:val="auto"/>
              </w:rPr>
            </w:pPr>
            <w:r w:rsidRPr="001C3301">
              <w:rPr>
                <w:rFonts w:asciiTheme="majorHAnsi" w:hAnsiTheme="majorHAnsi" w:cstheme="majorHAnsi"/>
                <w:color w:val="auto"/>
              </w:rPr>
              <w:t>DesertNet International; ECB Sustainable Youth Foundation; New Mexico State University; University of Wisconsin-Madison; Jornada Experimental Range</w:t>
            </w:r>
          </w:p>
        </w:tc>
      </w:tr>
    </w:tbl>
    <w:p w14:paraId="1BB7FC9E" w14:textId="77777777" w:rsidR="002E2804" w:rsidRPr="001C3301" w:rsidRDefault="00000000">
      <w:pPr>
        <w:pStyle w:val="Heading1"/>
        <w:rPr>
          <w:rFonts w:cstheme="majorHAnsi"/>
          <w:color w:val="auto"/>
          <w:sz w:val="22"/>
          <w:szCs w:val="22"/>
        </w:rPr>
      </w:pPr>
      <w:r w:rsidRPr="001C3301">
        <w:rPr>
          <w:rFonts w:cstheme="majorHAnsi"/>
          <w:color w:val="auto"/>
          <w:sz w:val="22"/>
          <w:szCs w:val="22"/>
        </w:rPr>
        <w:t>Introduction</w:t>
      </w:r>
    </w:p>
    <w:p w14:paraId="7C62EB39" w14:textId="77777777" w:rsidR="002E2804" w:rsidRPr="001C3301" w:rsidRDefault="00000000">
      <w:pPr>
        <w:rPr>
          <w:rFonts w:asciiTheme="majorHAnsi" w:hAnsiTheme="majorHAnsi" w:cstheme="majorHAnsi"/>
          <w:color w:val="auto"/>
        </w:rPr>
      </w:pPr>
      <w:r w:rsidRPr="001C3301">
        <w:rPr>
          <w:rFonts w:asciiTheme="majorHAnsi" w:hAnsiTheme="majorHAnsi" w:cstheme="majorHAnsi"/>
          <w:color w:val="auto"/>
        </w:rPr>
        <w:t>DesertNet International is co-organizing this side event to examine dryland degradation as a connected process. Wind erosion, water runoff, vegetation loss and grazing pressure can reinforce one another across landscapes, yet restoration planning often addresses them separately. The session presents connectivity as a unifying framework for understanding and managing the pathways through which wind, water and livestock move soil, sediment, nutrients, seeds and other resources.</w:t>
      </w:r>
    </w:p>
    <w:p w14:paraId="79E6E1E4" w14:textId="77777777" w:rsidR="002E2804" w:rsidRPr="001C3301" w:rsidRDefault="00000000">
      <w:pPr>
        <w:rPr>
          <w:rFonts w:asciiTheme="majorHAnsi" w:hAnsiTheme="majorHAnsi" w:cstheme="majorHAnsi"/>
          <w:color w:val="auto"/>
        </w:rPr>
      </w:pPr>
      <w:r w:rsidRPr="001C3301">
        <w:rPr>
          <w:rFonts w:asciiTheme="majorHAnsi" w:hAnsiTheme="majorHAnsi" w:cstheme="majorHAnsi"/>
          <w:color w:val="auto"/>
        </w:rPr>
        <w:t>By examining where these pathways connect, concentrate or redistribute resources, the panel will explore how restoration interventions can be placed more strategically to interrupt degradation and support recovery. The discussion moves from connectivity science and dryland thresholds to wind, water and livestock pathways, then to monitoring, governance, food systems, policy action and a Mongolian perspective grounded in pastoral landscapes.</w:t>
      </w:r>
    </w:p>
    <w:p w14:paraId="2974CF28" w14:textId="77777777" w:rsidR="002E2804" w:rsidRPr="001C3301" w:rsidRDefault="00000000">
      <w:pPr>
        <w:pStyle w:val="Heading1"/>
        <w:rPr>
          <w:rFonts w:cstheme="majorHAnsi"/>
          <w:color w:val="auto"/>
          <w:sz w:val="22"/>
          <w:szCs w:val="22"/>
        </w:rPr>
      </w:pPr>
      <w:r w:rsidRPr="001C3301">
        <w:rPr>
          <w:rFonts w:cstheme="majorHAnsi"/>
          <w:color w:val="auto"/>
          <w:sz w:val="22"/>
          <w:szCs w:val="22"/>
        </w:rPr>
        <w:t>Expected outcomes</w:t>
      </w:r>
    </w:p>
    <w:p w14:paraId="013BF798" w14:textId="77777777" w:rsidR="002E2804" w:rsidRPr="001C3301" w:rsidRDefault="00000000">
      <w:pPr>
        <w:rPr>
          <w:rFonts w:asciiTheme="majorHAnsi" w:hAnsiTheme="majorHAnsi" w:cstheme="majorHAnsi"/>
          <w:color w:val="auto"/>
        </w:rPr>
      </w:pPr>
      <w:r w:rsidRPr="001C3301">
        <w:rPr>
          <w:rFonts w:asciiTheme="majorHAnsi" w:hAnsiTheme="majorHAnsi" w:cstheme="majorHAnsi"/>
          <w:color w:val="auto"/>
        </w:rPr>
        <w:t>The session will develop a shared understanding of connectivity as a practical restoration concept, identify how pathway-based diagnosis can improve the placement of interventions, and highlight priorities for monitoring, governance and policy across contrasting dryland and pastoral contexts.</w:t>
      </w:r>
    </w:p>
    <w:p w14:paraId="74962F53" w14:textId="77777777" w:rsidR="002E2804" w:rsidRPr="001C3301" w:rsidRDefault="00000000">
      <w:pPr>
        <w:pStyle w:val="Heading1"/>
        <w:rPr>
          <w:rFonts w:cstheme="majorHAnsi"/>
          <w:color w:val="auto"/>
          <w:sz w:val="22"/>
          <w:szCs w:val="22"/>
        </w:rPr>
      </w:pPr>
      <w:r w:rsidRPr="001C3301">
        <w:rPr>
          <w:rFonts w:cstheme="majorHAnsi"/>
          <w:color w:val="auto"/>
          <w:sz w:val="22"/>
          <w:szCs w:val="22"/>
        </w:rPr>
        <w:t>Target audience</w:t>
      </w:r>
    </w:p>
    <w:p w14:paraId="40A26A54" w14:textId="77777777" w:rsidR="002E2804" w:rsidRPr="001C3301" w:rsidRDefault="00000000">
      <w:pPr>
        <w:rPr>
          <w:rFonts w:asciiTheme="majorHAnsi" w:hAnsiTheme="majorHAnsi" w:cstheme="majorHAnsi"/>
          <w:color w:val="auto"/>
        </w:rPr>
      </w:pPr>
      <w:r w:rsidRPr="001C3301">
        <w:rPr>
          <w:rFonts w:asciiTheme="majorHAnsi" w:hAnsiTheme="majorHAnsi" w:cstheme="majorHAnsi"/>
          <w:color w:val="auto"/>
        </w:rPr>
        <w:t>National focal points, restoration practitioners, civil society organizations, pastoral and land-management stakeholders, and scientific delegates.</w:t>
      </w:r>
    </w:p>
    <w:p w14:paraId="31D6028A" w14:textId="77777777" w:rsidR="002E2804" w:rsidRPr="001C3301" w:rsidRDefault="002E2804">
      <w:pPr>
        <w:rPr>
          <w:rFonts w:asciiTheme="majorHAnsi" w:hAnsiTheme="majorHAnsi" w:cstheme="majorHAnsi"/>
          <w:color w:val="auto"/>
        </w:rPr>
        <w:sectPr w:rsidR="002E2804" w:rsidRPr="001C3301">
          <w:footerReference w:type="default" r:id="rId8"/>
          <w:pgSz w:w="12240" w:h="15840"/>
          <w:pgMar w:top="1440" w:right="1440" w:bottom="1440" w:left="1440" w:header="708" w:footer="708" w:gutter="0"/>
          <w:cols w:space="720"/>
          <w:docGrid w:linePitch="360"/>
        </w:sectPr>
      </w:pPr>
    </w:p>
    <w:p w14:paraId="7A2C42CB" w14:textId="77777777" w:rsidR="002E2804" w:rsidRPr="001C3301" w:rsidRDefault="00000000">
      <w:pPr>
        <w:spacing w:after="480"/>
        <w:rPr>
          <w:rFonts w:asciiTheme="majorHAnsi" w:hAnsiTheme="majorHAnsi" w:cstheme="majorHAnsi"/>
          <w:color w:val="auto"/>
        </w:rPr>
      </w:pPr>
      <w:r w:rsidRPr="001C3301">
        <w:rPr>
          <w:rFonts w:asciiTheme="majorHAnsi" w:hAnsiTheme="majorHAnsi" w:cstheme="majorHAnsi"/>
          <w:b/>
          <w:color w:val="auto"/>
        </w:rPr>
        <w:lastRenderedPageBreak/>
        <w:t>UNCCD COP</w:t>
      </w:r>
      <w:proofErr w:type="gramStart"/>
      <w:r w:rsidRPr="001C3301">
        <w:rPr>
          <w:rFonts w:asciiTheme="majorHAnsi" w:hAnsiTheme="majorHAnsi" w:cstheme="majorHAnsi"/>
          <w:b/>
          <w:color w:val="auto"/>
        </w:rPr>
        <w:t>17  |</w:t>
      </w:r>
      <w:proofErr w:type="gramEnd"/>
      <w:r w:rsidRPr="001C3301">
        <w:rPr>
          <w:rFonts w:asciiTheme="majorHAnsi" w:hAnsiTheme="majorHAnsi" w:cstheme="majorHAnsi"/>
          <w:b/>
          <w:color w:val="auto"/>
        </w:rPr>
        <w:t xml:space="preserve">  SIDE EVENT #299                                      DESERTNET INTERNATIONAL</w:t>
      </w:r>
    </w:p>
    <w:p w14:paraId="0F0B5DB6" w14:textId="77777777" w:rsidR="002E2804" w:rsidRPr="001C3301" w:rsidRDefault="00000000">
      <w:pPr>
        <w:pStyle w:val="Heading1"/>
        <w:rPr>
          <w:rFonts w:cstheme="majorHAnsi"/>
          <w:color w:val="auto"/>
          <w:sz w:val="22"/>
          <w:szCs w:val="22"/>
        </w:rPr>
      </w:pPr>
      <w:r w:rsidRPr="001C3301">
        <w:rPr>
          <w:rFonts w:cstheme="majorHAnsi"/>
          <w:color w:val="auto"/>
          <w:sz w:val="22"/>
          <w:szCs w:val="22"/>
        </w:rPr>
        <w:t>Programme</w:t>
      </w:r>
    </w:p>
    <w:p w14:paraId="4216BB40" w14:textId="77777777" w:rsidR="002E2804" w:rsidRPr="001C3301" w:rsidRDefault="00000000">
      <w:pPr>
        <w:spacing w:after="200"/>
        <w:rPr>
          <w:rFonts w:asciiTheme="majorHAnsi" w:hAnsiTheme="majorHAnsi" w:cstheme="majorHAnsi"/>
          <w:color w:val="auto"/>
        </w:rPr>
      </w:pPr>
      <w:r w:rsidRPr="001C3301">
        <w:rPr>
          <w:rFonts w:asciiTheme="majorHAnsi" w:hAnsiTheme="majorHAnsi" w:cstheme="majorHAnsi"/>
          <w:b/>
          <w:color w:val="auto"/>
        </w:rPr>
        <w:t xml:space="preserve">Saturday, 22 August </w:t>
      </w:r>
      <w:proofErr w:type="gramStart"/>
      <w:r w:rsidRPr="001C3301">
        <w:rPr>
          <w:rFonts w:asciiTheme="majorHAnsi" w:hAnsiTheme="majorHAnsi" w:cstheme="majorHAnsi"/>
          <w:b/>
          <w:color w:val="auto"/>
        </w:rPr>
        <w:t>2026  |</w:t>
      </w:r>
      <w:proofErr w:type="gramEnd"/>
      <w:r w:rsidRPr="001C3301">
        <w:rPr>
          <w:rFonts w:asciiTheme="majorHAnsi" w:hAnsiTheme="majorHAnsi" w:cstheme="majorHAnsi"/>
          <w:b/>
          <w:color w:val="auto"/>
        </w:rPr>
        <w:t xml:space="preserve">  13:00 to 14:</w:t>
      </w:r>
      <w:proofErr w:type="gramStart"/>
      <w:r w:rsidRPr="001C3301">
        <w:rPr>
          <w:rFonts w:asciiTheme="majorHAnsi" w:hAnsiTheme="majorHAnsi" w:cstheme="majorHAnsi"/>
          <w:b/>
          <w:color w:val="auto"/>
        </w:rPr>
        <w:t>30  |</w:t>
      </w:r>
      <w:proofErr w:type="gramEnd"/>
      <w:r w:rsidRPr="001C3301">
        <w:rPr>
          <w:rFonts w:asciiTheme="majorHAnsi" w:hAnsiTheme="majorHAnsi" w:cstheme="majorHAnsi"/>
          <w:b/>
          <w:color w:val="auto"/>
        </w:rPr>
        <w:t xml:space="preserve">  Room MET-03 (CSO)</w:t>
      </w:r>
    </w:p>
    <w:tbl>
      <w:tblPr>
        <w:tblW w:w="9360" w:type="dxa"/>
        <w:tblInd w:w="120" w:type="dxa"/>
        <w:tblBorders>
          <w:top w:val="single" w:sz="6" w:space="0" w:color="CAD4DD"/>
          <w:left w:val="single" w:sz="6" w:space="0" w:color="CAD4DD"/>
          <w:bottom w:val="single" w:sz="6" w:space="0" w:color="CAD4DD"/>
          <w:right w:val="single" w:sz="6" w:space="0" w:color="CAD4DD"/>
          <w:insideH w:val="single" w:sz="6" w:space="0" w:color="CAD4DD"/>
          <w:insideV w:val="single" w:sz="6" w:space="0" w:color="CAD4DD"/>
        </w:tblBorders>
        <w:tblLayout w:type="fixed"/>
        <w:tblLook w:val="04A0" w:firstRow="1" w:lastRow="0" w:firstColumn="1" w:lastColumn="0" w:noHBand="0" w:noVBand="1"/>
      </w:tblPr>
      <w:tblGrid>
        <w:gridCol w:w="1450"/>
        <w:gridCol w:w="5010"/>
        <w:gridCol w:w="2900"/>
      </w:tblGrid>
      <w:tr w:rsidR="002E2804" w:rsidRPr="001C3301" w14:paraId="12A4C294" w14:textId="77777777" w:rsidTr="00A64210">
        <w:trPr>
          <w:tblHeader/>
        </w:trPr>
        <w:tc>
          <w:tcPr>
            <w:tcW w:w="1450" w:type="dxa"/>
            <w:tcMar>
              <w:top w:w="80" w:type="dxa"/>
              <w:left w:w="120" w:type="dxa"/>
              <w:bottom w:w="80" w:type="dxa"/>
              <w:right w:w="120" w:type="dxa"/>
            </w:tcMar>
            <w:vAlign w:val="center"/>
          </w:tcPr>
          <w:p w14:paraId="7D1A5F90" w14:textId="77777777" w:rsidR="002E2804" w:rsidRPr="001C3301" w:rsidRDefault="00000000">
            <w:pPr>
              <w:spacing w:after="0"/>
              <w:rPr>
                <w:rFonts w:asciiTheme="majorHAnsi" w:hAnsiTheme="majorHAnsi" w:cstheme="majorHAnsi"/>
                <w:color w:val="auto"/>
              </w:rPr>
            </w:pPr>
            <w:r w:rsidRPr="001C3301">
              <w:rPr>
                <w:rFonts w:asciiTheme="majorHAnsi" w:hAnsiTheme="majorHAnsi" w:cstheme="majorHAnsi"/>
                <w:b/>
                <w:color w:val="auto"/>
              </w:rPr>
              <w:t>Time</w:t>
            </w:r>
          </w:p>
        </w:tc>
        <w:tc>
          <w:tcPr>
            <w:tcW w:w="5010" w:type="dxa"/>
            <w:tcMar>
              <w:top w:w="80" w:type="dxa"/>
              <w:left w:w="120" w:type="dxa"/>
              <w:bottom w:w="80" w:type="dxa"/>
              <w:right w:w="120" w:type="dxa"/>
            </w:tcMar>
            <w:vAlign w:val="center"/>
          </w:tcPr>
          <w:p w14:paraId="77D104EE" w14:textId="77777777" w:rsidR="002E2804" w:rsidRPr="001C3301" w:rsidRDefault="00000000">
            <w:pPr>
              <w:spacing w:after="0"/>
              <w:rPr>
                <w:rFonts w:asciiTheme="majorHAnsi" w:hAnsiTheme="majorHAnsi" w:cstheme="majorHAnsi"/>
                <w:color w:val="auto"/>
              </w:rPr>
            </w:pPr>
            <w:r w:rsidRPr="001C3301">
              <w:rPr>
                <w:rFonts w:asciiTheme="majorHAnsi" w:hAnsiTheme="majorHAnsi" w:cstheme="majorHAnsi"/>
                <w:b/>
                <w:color w:val="auto"/>
              </w:rPr>
              <w:t>Title</w:t>
            </w:r>
          </w:p>
        </w:tc>
        <w:tc>
          <w:tcPr>
            <w:tcW w:w="2900" w:type="dxa"/>
            <w:tcMar>
              <w:top w:w="80" w:type="dxa"/>
              <w:left w:w="120" w:type="dxa"/>
              <w:bottom w:w="80" w:type="dxa"/>
              <w:right w:w="120" w:type="dxa"/>
            </w:tcMar>
            <w:vAlign w:val="center"/>
          </w:tcPr>
          <w:p w14:paraId="28B714C6" w14:textId="77777777" w:rsidR="002E2804" w:rsidRPr="001C3301" w:rsidRDefault="00000000">
            <w:pPr>
              <w:spacing w:after="0"/>
              <w:rPr>
                <w:rFonts w:asciiTheme="majorHAnsi" w:hAnsiTheme="majorHAnsi" w:cstheme="majorHAnsi"/>
                <w:color w:val="auto"/>
              </w:rPr>
            </w:pPr>
            <w:r w:rsidRPr="001C3301">
              <w:rPr>
                <w:rFonts w:asciiTheme="majorHAnsi" w:hAnsiTheme="majorHAnsi" w:cstheme="majorHAnsi"/>
                <w:b/>
                <w:color w:val="auto"/>
              </w:rPr>
              <w:t>Speaker</w:t>
            </w:r>
          </w:p>
        </w:tc>
      </w:tr>
      <w:tr w:rsidR="002E2804" w:rsidRPr="001C3301" w14:paraId="3CDA881B" w14:textId="77777777" w:rsidTr="00A64210">
        <w:tc>
          <w:tcPr>
            <w:tcW w:w="1450" w:type="dxa"/>
            <w:tcMar>
              <w:top w:w="80" w:type="dxa"/>
              <w:left w:w="120" w:type="dxa"/>
              <w:bottom w:w="80" w:type="dxa"/>
              <w:right w:w="120" w:type="dxa"/>
            </w:tcMar>
            <w:vAlign w:val="center"/>
          </w:tcPr>
          <w:p w14:paraId="55C968A7"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13:00-13:03</w:t>
            </w:r>
          </w:p>
        </w:tc>
        <w:tc>
          <w:tcPr>
            <w:tcW w:w="5010" w:type="dxa"/>
            <w:tcMar>
              <w:top w:w="80" w:type="dxa"/>
              <w:left w:w="120" w:type="dxa"/>
              <w:bottom w:w="80" w:type="dxa"/>
              <w:right w:w="120" w:type="dxa"/>
            </w:tcMar>
            <w:vAlign w:val="center"/>
          </w:tcPr>
          <w:p w14:paraId="2AC0B40C"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Opening: Why isolated restoration approaches often fail and how connectivity can provide a unifying framework for drylands</w:t>
            </w:r>
          </w:p>
        </w:tc>
        <w:tc>
          <w:tcPr>
            <w:tcW w:w="2900" w:type="dxa"/>
            <w:tcMar>
              <w:top w:w="80" w:type="dxa"/>
              <w:left w:w="120" w:type="dxa"/>
              <w:bottom w:w="80" w:type="dxa"/>
              <w:right w:w="120" w:type="dxa"/>
            </w:tcMar>
            <w:vAlign w:val="center"/>
          </w:tcPr>
          <w:p w14:paraId="3DC800FC"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Shubham Tiwari</w:t>
            </w:r>
            <w:r w:rsidRPr="001C3301">
              <w:rPr>
                <w:rFonts w:asciiTheme="majorHAnsi" w:hAnsiTheme="majorHAnsi" w:cstheme="majorHAnsi"/>
                <w:color w:val="auto"/>
              </w:rPr>
              <w:br/>
              <w:t>Jornada / NMSU</w:t>
            </w:r>
          </w:p>
        </w:tc>
      </w:tr>
      <w:tr w:rsidR="002E2804" w:rsidRPr="001C3301" w14:paraId="0F92B4BB" w14:textId="77777777" w:rsidTr="00A64210">
        <w:tc>
          <w:tcPr>
            <w:tcW w:w="1450" w:type="dxa"/>
            <w:tcMar>
              <w:top w:w="80" w:type="dxa"/>
              <w:left w:w="120" w:type="dxa"/>
              <w:bottom w:w="80" w:type="dxa"/>
              <w:right w:w="120" w:type="dxa"/>
            </w:tcMar>
            <w:vAlign w:val="center"/>
          </w:tcPr>
          <w:p w14:paraId="26A4555E"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13:03-13:14</w:t>
            </w:r>
          </w:p>
        </w:tc>
        <w:tc>
          <w:tcPr>
            <w:tcW w:w="5010" w:type="dxa"/>
            <w:tcMar>
              <w:top w:w="80" w:type="dxa"/>
              <w:left w:w="120" w:type="dxa"/>
              <w:bottom w:w="80" w:type="dxa"/>
              <w:right w:w="120" w:type="dxa"/>
            </w:tcMar>
            <w:vAlign w:val="center"/>
          </w:tcPr>
          <w:p w14:paraId="096BBDA9"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 xml:space="preserve">Connectivity, </w:t>
            </w:r>
            <w:proofErr w:type="gramStart"/>
            <w:r w:rsidRPr="001C3301">
              <w:rPr>
                <w:rFonts w:asciiTheme="majorHAnsi" w:hAnsiTheme="majorHAnsi" w:cstheme="majorHAnsi"/>
                <w:color w:val="auto"/>
              </w:rPr>
              <w:t>feedbacks</w:t>
            </w:r>
            <w:proofErr w:type="gramEnd"/>
            <w:r w:rsidRPr="001C3301">
              <w:rPr>
                <w:rFonts w:asciiTheme="majorHAnsi" w:hAnsiTheme="majorHAnsi" w:cstheme="majorHAnsi"/>
                <w:color w:val="auto"/>
              </w:rPr>
              <w:t>, thresholds and tipping points in dryland systems</w:t>
            </w:r>
          </w:p>
        </w:tc>
        <w:tc>
          <w:tcPr>
            <w:tcW w:w="2900" w:type="dxa"/>
            <w:tcMar>
              <w:top w:w="80" w:type="dxa"/>
              <w:left w:w="120" w:type="dxa"/>
              <w:bottom w:w="80" w:type="dxa"/>
              <w:right w:w="120" w:type="dxa"/>
            </w:tcMar>
            <w:vAlign w:val="center"/>
          </w:tcPr>
          <w:p w14:paraId="0557ACF4"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Paolo D'Odorico</w:t>
            </w:r>
            <w:r w:rsidRPr="001C3301">
              <w:rPr>
                <w:rFonts w:asciiTheme="majorHAnsi" w:hAnsiTheme="majorHAnsi" w:cstheme="majorHAnsi"/>
                <w:color w:val="auto"/>
              </w:rPr>
              <w:br/>
              <w:t>UC Berkeley / UNCCD SPI</w:t>
            </w:r>
          </w:p>
        </w:tc>
      </w:tr>
      <w:tr w:rsidR="002E2804" w:rsidRPr="001C3301" w14:paraId="55AF591A" w14:textId="77777777" w:rsidTr="00A64210">
        <w:tc>
          <w:tcPr>
            <w:tcW w:w="1450" w:type="dxa"/>
            <w:tcMar>
              <w:top w:w="80" w:type="dxa"/>
              <w:left w:w="120" w:type="dxa"/>
              <w:bottom w:w="80" w:type="dxa"/>
              <w:right w:w="120" w:type="dxa"/>
            </w:tcMar>
            <w:vAlign w:val="center"/>
          </w:tcPr>
          <w:p w14:paraId="0A2C243B"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13:14-13:25</w:t>
            </w:r>
          </w:p>
        </w:tc>
        <w:tc>
          <w:tcPr>
            <w:tcW w:w="5010" w:type="dxa"/>
            <w:tcMar>
              <w:top w:w="80" w:type="dxa"/>
              <w:left w:w="120" w:type="dxa"/>
              <w:bottom w:w="80" w:type="dxa"/>
              <w:right w:w="120" w:type="dxa"/>
            </w:tcMar>
            <w:vAlign w:val="center"/>
          </w:tcPr>
          <w:p w14:paraId="5A76AB0C"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Wind connectivity, aeolian transport and interventions for dryland restoration</w:t>
            </w:r>
          </w:p>
        </w:tc>
        <w:tc>
          <w:tcPr>
            <w:tcW w:w="2900" w:type="dxa"/>
            <w:tcMar>
              <w:top w:w="80" w:type="dxa"/>
              <w:left w:w="120" w:type="dxa"/>
              <w:bottom w:w="80" w:type="dxa"/>
              <w:right w:w="120" w:type="dxa"/>
            </w:tcMar>
            <w:vAlign w:val="center"/>
          </w:tcPr>
          <w:p w14:paraId="158CCD5E"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Kristina Young</w:t>
            </w:r>
            <w:r w:rsidRPr="001C3301">
              <w:rPr>
                <w:rFonts w:asciiTheme="majorHAnsi" w:hAnsiTheme="majorHAnsi" w:cstheme="majorHAnsi"/>
                <w:color w:val="auto"/>
              </w:rPr>
              <w:br/>
              <w:t>UW-Madison</w:t>
            </w:r>
          </w:p>
        </w:tc>
      </w:tr>
      <w:tr w:rsidR="002E2804" w:rsidRPr="001C3301" w14:paraId="00B47607" w14:textId="77777777" w:rsidTr="00A64210">
        <w:tc>
          <w:tcPr>
            <w:tcW w:w="1450" w:type="dxa"/>
            <w:tcMar>
              <w:top w:w="80" w:type="dxa"/>
              <w:left w:w="120" w:type="dxa"/>
              <w:bottom w:w="80" w:type="dxa"/>
              <w:right w:w="120" w:type="dxa"/>
            </w:tcMar>
            <w:vAlign w:val="center"/>
          </w:tcPr>
          <w:p w14:paraId="42FA1F00"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13:25-13:36</w:t>
            </w:r>
          </w:p>
        </w:tc>
        <w:tc>
          <w:tcPr>
            <w:tcW w:w="5010" w:type="dxa"/>
            <w:tcMar>
              <w:top w:w="80" w:type="dxa"/>
              <w:left w:w="120" w:type="dxa"/>
              <w:bottom w:w="80" w:type="dxa"/>
              <w:right w:w="120" w:type="dxa"/>
            </w:tcMar>
            <w:vAlign w:val="center"/>
          </w:tcPr>
          <w:p w14:paraId="108413B3"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Water connectivity, runoff, resource redistribution and earthworks for restoration</w:t>
            </w:r>
          </w:p>
        </w:tc>
        <w:tc>
          <w:tcPr>
            <w:tcW w:w="2900" w:type="dxa"/>
            <w:tcMar>
              <w:top w:w="80" w:type="dxa"/>
              <w:left w:w="120" w:type="dxa"/>
              <w:bottom w:w="80" w:type="dxa"/>
              <w:right w:w="120" w:type="dxa"/>
            </w:tcMar>
            <w:vAlign w:val="center"/>
          </w:tcPr>
          <w:p w14:paraId="35F4858E"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Shubham Tiwari</w:t>
            </w:r>
            <w:r w:rsidRPr="001C3301">
              <w:rPr>
                <w:rFonts w:asciiTheme="majorHAnsi" w:hAnsiTheme="majorHAnsi" w:cstheme="majorHAnsi"/>
                <w:color w:val="auto"/>
              </w:rPr>
              <w:br/>
              <w:t>Jornada / NMSU</w:t>
            </w:r>
          </w:p>
        </w:tc>
      </w:tr>
      <w:tr w:rsidR="002E2804" w:rsidRPr="001C3301" w14:paraId="49B13282" w14:textId="77777777" w:rsidTr="00A64210">
        <w:tc>
          <w:tcPr>
            <w:tcW w:w="1450" w:type="dxa"/>
            <w:tcMar>
              <w:top w:w="80" w:type="dxa"/>
              <w:left w:w="120" w:type="dxa"/>
              <w:bottom w:w="80" w:type="dxa"/>
              <w:right w:w="120" w:type="dxa"/>
            </w:tcMar>
            <w:vAlign w:val="center"/>
          </w:tcPr>
          <w:p w14:paraId="26208B10"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13:36-13:47</w:t>
            </w:r>
          </w:p>
        </w:tc>
        <w:tc>
          <w:tcPr>
            <w:tcW w:w="5010" w:type="dxa"/>
            <w:tcMar>
              <w:top w:w="80" w:type="dxa"/>
              <w:left w:w="120" w:type="dxa"/>
              <w:bottom w:w="80" w:type="dxa"/>
              <w:right w:w="120" w:type="dxa"/>
            </w:tcMar>
            <w:vAlign w:val="center"/>
          </w:tcPr>
          <w:p w14:paraId="4983B835"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Livestock as connectivity agents: grazing, movement and governance</w:t>
            </w:r>
          </w:p>
        </w:tc>
        <w:tc>
          <w:tcPr>
            <w:tcW w:w="2900" w:type="dxa"/>
            <w:tcMar>
              <w:top w:w="80" w:type="dxa"/>
              <w:left w:w="120" w:type="dxa"/>
              <w:bottom w:w="80" w:type="dxa"/>
              <w:right w:w="120" w:type="dxa"/>
            </w:tcMar>
            <w:vAlign w:val="center"/>
          </w:tcPr>
          <w:p w14:paraId="5D3EB4F6"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Elisabeth Huber-Sannwald</w:t>
            </w:r>
            <w:r w:rsidRPr="001C3301">
              <w:rPr>
                <w:rFonts w:asciiTheme="majorHAnsi" w:hAnsiTheme="majorHAnsi" w:cstheme="majorHAnsi"/>
                <w:color w:val="auto"/>
              </w:rPr>
              <w:br/>
              <w:t>IPICYT / UNCCD SPI</w:t>
            </w:r>
          </w:p>
        </w:tc>
      </w:tr>
      <w:tr w:rsidR="002E2804" w:rsidRPr="001C3301" w14:paraId="12637BBA" w14:textId="77777777" w:rsidTr="00A64210">
        <w:tc>
          <w:tcPr>
            <w:tcW w:w="1450" w:type="dxa"/>
            <w:tcMar>
              <w:top w:w="80" w:type="dxa"/>
              <w:left w:w="120" w:type="dxa"/>
              <w:bottom w:w="80" w:type="dxa"/>
              <w:right w:w="120" w:type="dxa"/>
            </w:tcMar>
            <w:vAlign w:val="center"/>
          </w:tcPr>
          <w:p w14:paraId="2DEB89B5"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13:47-13:58</w:t>
            </w:r>
          </w:p>
        </w:tc>
        <w:tc>
          <w:tcPr>
            <w:tcW w:w="5010" w:type="dxa"/>
            <w:tcMar>
              <w:top w:w="80" w:type="dxa"/>
              <w:left w:w="120" w:type="dxa"/>
              <w:bottom w:w="80" w:type="dxa"/>
              <w:right w:w="120" w:type="dxa"/>
            </w:tcMar>
            <w:vAlign w:val="center"/>
          </w:tcPr>
          <w:p w14:paraId="400EAE7C"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Supporting and monitoring pastoralist rangeland management for dryland restoration in Africa</w:t>
            </w:r>
          </w:p>
        </w:tc>
        <w:tc>
          <w:tcPr>
            <w:tcW w:w="2900" w:type="dxa"/>
            <w:tcMar>
              <w:top w:w="80" w:type="dxa"/>
              <w:left w:w="120" w:type="dxa"/>
              <w:bottom w:w="80" w:type="dxa"/>
              <w:right w:w="120" w:type="dxa"/>
            </w:tcMar>
            <w:vAlign w:val="center"/>
          </w:tcPr>
          <w:p w14:paraId="0E489AB3"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Jason Sircely</w:t>
            </w:r>
            <w:r w:rsidRPr="001C3301">
              <w:rPr>
                <w:rFonts w:asciiTheme="majorHAnsi" w:hAnsiTheme="majorHAnsi" w:cstheme="majorHAnsi"/>
                <w:color w:val="auto"/>
              </w:rPr>
              <w:br/>
              <w:t>ILRI</w:t>
            </w:r>
          </w:p>
        </w:tc>
      </w:tr>
      <w:tr w:rsidR="002E2804" w:rsidRPr="001C3301" w14:paraId="2EA9C3E2" w14:textId="77777777" w:rsidTr="00A64210">
        <w:tc>
          <w:tcPr>
            <w:tcW w:w="1450" w:type="dxa"/>
            <w:tcMar>
              <w:top w:w="80" w:type="dxa"/>
              <w:left w:w="120" w:type="dxa"/>
              <w:bottom w:w="80" w:type="dxa"/>
              <w:right w:w="120" w:type="dxa"/>
            </w:tcMar>
            <w:vAlign w:val="center"/>
          </w:tcPr>
          <w:p w14:paraId="0D8E58FA"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13:58-14:09</w:t>
            </w:r>
          </w:p>
        </w:tc>
        <w:tc>
          <w:tcPr>
            <w:tcW w:w="5010" w:type="dxa"/>
            <w:tcMar>
              <w:top w:w="80" w:type="dxa"/>
              <w:left w:w="120" w:type="dxa"/>
              <w:bottom w:w="80" w:type="dxa"/>
              <w:right w:w="120" w:type="dxa"/>
            </w:tcMar>
            <w:vAlign w:val="center"/>
          </w:tcPr>
          <w:p w14:paraId="28F83076"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From connectivity science to dryland food systems and policy action</w:t>
            </w:r>
          </w:p>
        </w:tc>
        <w:tc>
          <w:tcPr>
            <w:tcW w:w="2900" w:type="dxa"/>
            <w:tcMar>
              <w:top w:w="80" w:type="dxa"/>
              <w:left w:w="120" w:type="dxa"/>
              <w:bottom w:w="80" w:type="dxa"/>
              <w:right w:w="120" w:type="dxa"/>
            </w:tcMar>
            <w:vAlign w:val="center"/>
          </w:tcPr>
          <w:p w14:paraId="5467D6D6"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Rachid Serraj</w:t>
            </w:r>
            <w:r w:rsidRPr="001C3301">
              <w:rPr>
                <w:rFonts w:asciiTheme="majorHAnsi" w:hAnsiTheme="majorHAnsi" w:cstheme="majorHAnsi"/>
                <w:color w:val="auto"/>
              </w:rPr>
              <w:br/>
              <w:t>UM6P / DNI</w:t>
            </w:r>
          </w:p>
        </w:tc>
      </w:tr>
      <w:tr w:rsidR="002E2804" w:rsidRPr="001C3301" w14:paraId="07B9FEDD" w14:textId="77777777" w:rsidTr="00A64210">
        <w:tc>
          <w:tcPr>
            <w:tcW w:w="1450" w:type="dxa"/>
            <w:tcMar>
              <w:top w:w="80" w:type="dxa"/>
              <w:left w:w="120" w:type="dxa"/>
              <w:bottom w:w="80" w:type="dxa"/>
              <w:right w:w="120" w:type="dxa"/>
            </w:tcMar>
            <w:vAlign w:val="center"/>
          </w:tcPr>
          <w:p w14:paraId="41CC7D68"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14:09-14:20</w:t>
            </w:r>
          </w:p>
        </w:tc>
        <w:tc>
          <w:tcPr>
            <w:tcW w:w="5010" w:type="dxa"/>
            <w:tcMar>
              <w:top w:w="80" w:type="dxa"/>
              <w:left w:w="120" w:type="dxa"/>
              <w:bottom w:w="80" w:type="dxa"/>
              <w:right w:w="120" w:type="dxa"/>
            </w:tcMar>
            <w:vAlign w:val="center"/>
          </w:tcPr>
          <w:p w14:paraId="5CF3E37C"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From landscape connectivity to local action: a Mongolian perspective on drylands, pastoral landscapes, biodiversity and restoration</w:t>
            </w:r>
          </w:p>
        </w:tc>
        <w:tc>
          <w:tcPr>
            <w:tcW w:w="2900" w:type="dxa"/>
            <w:tcMar>
              <w:top w:w="80" w:type="dxa"/>
              <w:left w:w="120" w:type="dxa"/>
              <w:bottom w:w="80" w:type="dxa"/>
              <w:right w:w="120" w:type="dxa"/>
            </w:tcMar>
            <w:vAlign w:val="center"/>
          </w:tcPr>
          <w:p w14:paraId="136AEAAF"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Odonchimeg Munkhdalai</w:t>
            </w:r>
            <w:r w:rsidRPr="001C3301">
              <w:rPr>
                <w:rFonts w:asciiTheme="majorHAnsi" w:hAnsiTheme="majorHAnsi" w:cstheme="majorHAnsi"/>
                <w:color w:val="auto"/>
              </w:rPr>
              <w:br/>
              <w:t>Wildlife Science and Conservation Center of Mongolia</w:t>
            </w:r>
          </w:p>
        </w:tc>
      </w:tr>
      <w:tr w:rsidR="002E2804" w:rsidRPr="001C3301" w14:paraId="5500362B" w14:textId="77777777" w:rsidTr="00A64210">
        <w:tc>
          <w:tcPr>
            <w:tcW w:w="1450" w:type="dxa"/>
            <w:tcMar>
              <w:top w:w="80" w:type="dxa"/>
              <w:left w:w="120" w:type="dxa"/>
              <w:bottom w:w="80" w:type="dxa"/>
              <w:right w:w="120" w:type="dxa"/>
            </w:tcMar>
            <w:vAlign w:val="center"/>
          </w:tcPr>
          <w:p w14:paraId="05731C1C"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14:20-14:30</w:t>
            </w:r>
          </w:p>
        </w:tc>
        <w:tc>
          <w:tcPr>
            <w:tcW w:w="5010" w:type="dxa"/>
            <w:tcMar>
              <w:top w:w="80" w:type="dxa"/>
              <w:left w:w="120" w:type="dxa"/>
              <w:bottom w:w="80" w:type="dxa"/>
              <w:right w:w="120" w:type="dxa"/>
            </w:tcMar>
            <w:vAlign w:val="center"/>
          </w:tcPr>
          <w:p w14:paraId="2C0A1E03"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color w:val="auto"/>
              </w:rPr>
              <w:t>Audience questions and discussion</w:t>
            </w:r>
          </w:p>
        </w:tc>
        <w:tc>
          <w:tcPr>
            <w:tcW w:w="2900" w:type="dxa"/>
            <w:tcMar>
              <w:top w:w="80" w:type="dxa"/>
              <w:left w:w="120" w:type="dxa"/>
              <w:bottom w:w="80" w:type="dxa"/>
              <w:right w:w="120" w:type="dxa"/>
            </w:tcMar>
            <w:vAlign w:val="center"/>
          </w:tcPr>
          <w:p w14:paraId="1B2E29A4" w14:textId="77777777" w:rsidR="002E2804" w:rsidRPr="001C3301" w:rsidRDefault="00000000">
            <w:pPr>
              <w:spacing w:after="0" w:line="240" w:lineRule="auto"/>
              <w:rPr>
                <w:rFonts w:asciiTheme="majorHAnsi" w:hAnsiTheme="majorHAnsi" w:cstheme="majorHAnsi"/>
                <w:color w:val="auto"/>
              </w:rPr>
            </w:pPr>
            <w:r w:rsidRPr="001C3301">
              <w:rPr>
                <w:rFonts w:asciiTheme="majorHAnsi" w:hAnsiTheme="majorHAnsi" w:cstheme="majorHAnsi"/>
                <w:b/>
                <w:color w:val="auto"/>
              </w:rPr>
              <w:t>Panel discussion</w:t>
            </w:r>
          </w:p>
        </w:tc>
      </w:tr>
    </w:tbl>
    <w:p w14:paraId="042AF54E" w14:textId="77777777" w:rsidR="002E2804" w:rsidRPr="001C3301" w:rsidRDefault="00000000">
      <w:pPr>
        <w:pStyle w:val="Heading1"/>
        <w:rPr>
          <w:rFonts w:cstheme="majorHAnsi"/>
          <w:color w:val="auto"/>
          <w:sz w:val="22"/>
          <w:szCs w:val="22"/>
        </w:rPr>
      </w:pPr>
      <w:r w:rsidRPr="001C3301">
        <w:rPr>
          <w:rFonts w:cstheme="majorHAnsi"/>
          <w:color w:val="auto"/>
          <w:sz w:val="22"/>
          <w:szCs w:val="22"/>
        </w:rPr>
        <w:t>Contacts</w:t>
      </w:r>
    </w:p>
    <w:p w14:paraId="7F11511A" w14:textId="77777777" w:rsidR="002E2804" w:rsidRPr="001C3301" w:rsidRDefault="00000000">
      <w:pPr>
        <w:spacing w:after="40"/>
        <w:rPr>
          <w:rFonts w:asciiTheme="majorHAnsi" w:hAnsiTheme="majorHAnsi" w:cstheme="majorHAnsi"/>
          <w:color w:val="auto"/>
        </w:rPr>
      </w:pPr>
      <w:r w:rsidRPr="001C3301">
        <w:rPr>
          <w:rFonts w:asciiTheme="majorHAnsi" w:hAnsiTheme="majorHAnsi" w:cstheme="majorHAnsi"/>
          <w:b/>
          <w:color w:val="auto"/>
        </w:rPr>
        <w:t xml:space="preserve">Shubham Tiwari: </w:t>
      </w:r>
      <w:r w:rsidRPr="001C3301">
        <w:rPr>
          <w:rFonts w:asciiTheme="majorHAnsi" w:hAnsiTheme="majorHAnsi" w:cstheme="majorHAnsi"/>
          <w:color w:val="auto"/>
        </w:rPr>
        <w:t>shubhamt@nmsu.edu</w:t>
      </w:r>
    </w:p>
    <w:p w14:paraId="5661533F" w14:textId="77777777" w:rsidR="002E2804" w:rsidRPr="001C3301" w:rsidRDefault="00000000">
      <w:pPr>
        <w:spacing w:after="0"/>
        <w:rPr>
          <w:rFonts w:asciiTheme="majorHAnsi" w:hAnsiTheme="majorHAnsi" w:cstheme="majorHAnsi"/>
          <w:color w:val="auto"/>
        </w:rPr>
      </w:pPr>
      <w:r w:rsidRPr="001C3301">
        <w:rPr>
          <w:rFonts w:asciiTheme="majorHAnsi" w:hAnsiTheme="majorHAnsi" w:cstheme="majorHAnsi"/>
          <w:b/>
          <w:color w:val="auto"/>
        </w:rPr>
        <w:t xml:space="preserve">Kristina Young: </w:t>
      </w:r>
      <w:r w:rsidRPr="001C3301">
        <w:rPr>
          <w:rFonts w:asciiTheme="majorHAnsi" w:hAnsiTheme="majorHAnsi" w:cstheme="majorHAnsi"/>
          <w:color w:val="auto"/>
        </w:rPr>
        <w:t>kristina.young@wisc.edu</w:t>
      </w:r>
    </w:p>
    <w:sectPr w:rsidR="002E2804" w:rsidRPr="001C3301" w:rsidSect="00034616">
      <w:head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2F566" w14:textId="77777777" w:rsidR="005D1764" w:rsidRDefault="005D1764">
      <w:pPr>
        <w:spacing w:after="0" w:line="240" w:lineRule="auto"/>
      </w:pPr>
      <w:r>
        <w:separator/>
      </w:r>
    </w:p>
  </w:endnote>
  <w:endnote w:type="continuationSeparator" w:id="0">
    <w:p w14:paraId="6D271A2D" w14:textId="77777777" w:rsidR="005D1764" w:rsidRDefault="005D1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C772" w14:textId="5C500C4B" w:rsidR="002E2804" w:rsidRDefault="002E280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B7294" w14:textId="77777777" w:rsidR="005D1764" w:rsidRDefault="005D1764">
      <w:pPr>
        <w:spacing w:after="0" w:line="240" w:lineRule="auto"/>
      </w:pPr>
      <w:r>
        <w:separator/>
      </w:r>
    </w:p>
  </w:footnote>
  <w:footnote w:type="continuationSeparator" w:id="0">
    <w:p w14:paraId="0C33F815" w14:textId="77777777" w:rsidR="005D1764" w:rsidRDefault="005D1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493B" w14:textId="77777777" w:rsidR="002E2804" w:rsidRDefault="002E2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AA74F0"/>
    <w:multiLevelType w:val="singleLevel"/>
    <w:tmpl w:val="FDD69F8A"/>
    <w:lvl w:ilvl="0">
      <w:start w:val="1"/>
      <w:numFmt w:val="decimal"/>
      <w:lvlText w:val="%1."/>
      <w:lvlJc w:val="left"/>
      <w:pPr>
        <w:tabs>
          <w:tab w:val="num" w:pos="720"/>
        </w:tabs>
        <w:spacing w:after="160" w:line="280" w:lineRule="auto"/>
        <w:ind w:left="720" w:hanging="360"/>
      </w:pPr>
    </w:lvl>
  </w:abstractNum>
  <w:abstractNum w:abstractNumId="10" w15:restartNumberingAfterBreak="0">
    <w:nsid w:val="477A4803"/>
    <w:multiLevelType w:val="singleLevel"/>
    <w:tmpl w:val="D88E7B78"/>
    <w:lvl w:ilvl="0">
      <w:start w:val="1"/>
      <w:numFmt w:val="bullet"/>
      <w:pStyle w:val="ListBullet"/>
      <w:lvlText w:val="•"/>
      <w:lvlJc w:val="left"/>
      <w:pPr>
        <w:tabs>
          <w:tab w:val="num" w:pos="720"/>
        </w:tabs>
        <w:spacing w:after="160" w:line="280" w:lineRule="auto"/>
        <w:ind w:left="720" w:hanging="360"/>
      </w:pPr>
      <w:rPr>
        <w:rFonts w:ascii="Arial" w:hAnsi="Arial"/>
      </w:rPr>
    </w:lvl>
  </w:abstractNum>
  <w:num w:numId="1" w16cid:durableId="7061768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091C"/>
    <w:rsid w:val="0015074B"/>
    <w:rsid w:val="001C3301"/>
    <w:rsid w:val="0029639D"/>
    <w:rsid w:val="002E2804"/>
    <w:rsid w:val="00326F90"/>
    <w:rsid w:val="005D1764"/>
    <w:rsid w:val="00A64210"/>
    <w:rsid w:val="00AA1D8D"/>
    <w:rsid w:val="00B47730"/>
    <w:rsid w:val="00CB0664"/>
    <w:rsid w:val="00DD23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B03BDB"/>
  <w14:defaultImageDpi w14:val="300"/>
  <w15:docId w15:val="{D07A37A7-3BB9-432B-955B-276DA692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0262C"/>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53A54"/>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DNI at UNCCD COP17: Managing Connectivity of Wind, Water and Livestock for Dryland Restoration</dc:title>
  <dc:subject>Web announcement for UNCCD COP17 Side Event #299</dc:subject>
  <dc:creator>Shubham Tiwari</dc:creator>
  <cp:keywords>UNCCD COP17, dryland restoration, connectivity, wind, water, livestock, DesertNet International</cp:keywords>
  <dc:description>generated by python-docx</dc:description>
  <cp:lastModifiedBy>Shubham Tiwari</cp:lastModifiedBy>
  <cp:revision>5</cp:revision>
  <dcterms:created xsi:type="dcterms:W3CDTF">2026-08-17T12:59:00Z</dcterms:created>
  <dcterms:modified xsi:type="dcterms:W3CDTF">2026-08-17T13:16:00Z</dcterms:modified>
  <cp:category/>
</cp:coreProperties>
</file>